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EA" w:rsidRDefault="00244B27">
      <w:r>
        <w:rPr>
          <w:rFonts w:ascii="exo2-regular" w:hAnsi="exo2-regular"/>
          <w:noProof/>
          <w:color w:val="333333"/>
        </w:rPr>
        <w:drawing>
          <wp:inline distT="0" distB="0" distL="0" distR="0" wp14:anchorId="4AEEC90F" wp14:editId="45A43105">
            <wp:extent cx="5940425" cy="1809849"/>
            <wp:effectExtent l="0" t="0" r="3175" b="0"/>
            <wp:docPr id="1" name="Рисунок 1" descr="https://elpts.ru/sites/default/files/%D0%BB%D0%BE%D0%B3%D0%BE_%D1%80%D0%BE%D1%81%D1%82%D0%B5%D1%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pts.ru/sites/default/files/%D0%BB%D0%BE%D0%B3%D0%BE_%D1%80%D0%BE%D1%81%D1%82%D0%B5%D1%8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22" w:rsidRDefault="009F5A22"/>
    <w:p w:rsidR="008C10C3" w:rsidRDefault="008C10C3">
      <w:pPr>
        <w:rPr>
          <w:rFonts w:ascii="exo2-medium" w:hAnsi="exo2-medium" w:cs="Arial"/>
          <w:b/>
          <w:bCs/>
          <w:color w:val="49545B"/>
          <w:sz w:val="44"/>
          <w:szCs w:val="54"/>
        </w:rPr>
      </w:pPr>
    </w:p>
    <w:p w:rsidR="00DA7093" w:rsidRDefault="00A250CE" w:rsidP="001919C1">
      <w:pPr>
        <w:rPr>
          <w:rFonts w:ascii="exo2-medium" w:hAnsi="exo2-medium" w:cs="Arial"/>
          <w:b/>
          <w:bCs/>
          <w:sz w:val="44"/>
          <w:szCs w:val="54"/>
        </w:rPr>
      </w:pPr>
      <w:r>
        <w:rPr>
          <w:rFonts w:ascii="exo2-medium" w:hAnsi="exo2-medium" w:cs="Arial"/>
          <w:b/>
          <w:bCs/>
          <w:sz w:val="44"/>
          <w:szCs w:val="54"/>
        </w:rPr>
        <w:t>П</w:t>
      </w:r>
      <w:r w:rsidRPr="00A250CE">
        <w:rPr>
          <w:rFonts w:ascii="exo2-medium" w:hAnsi="exo2-medium" w:cs="Arial"/>
          <w:b/>
          <w:bCs/>
          <w:sz w:val="44"/>
          <w:szCs w:val="54"/>
        </w:rPr>
        <w:t xml:space="preserve">ереходный период ввода электронных паспортов транспортного средства в ЕАЭС продлен до 1 ноября 2019 года. </w:t>
      </w:r>
      <w:r w:rsidR="00AE10A0" w:rsidRPr="00AE10A0">
        <w:rPr>
          <w:rFonts w:ascii="exo2-medium" w:hAnsi="exo2-medium" w:cs="Arial"/>
          <w:b/>
          <w:bCs/>
          <w:sz w:val="44"/>
          <w:szCs w:val="54"/>
        </w:rPr>
        <w:t xml:space="preserve"> </w:t>
      </w:r>
    </w:p>
    <w:p w:rsidR="00DA7093" w:rsidRDefault="00DA7093" w:rsidP="001919C1">
      <w:pPr>
        <w:rPr>
          <w:rFonts w:ascii="exo2-medium" w:hAnsi="exo2-medium" w:cs="Arial"/>
          <w:b/>
          <w:bCs/>
          <w:sz w:val="44"/>
          <w:szCs w:val="54"/>
        </w:rPr>
      </w:pPr>
    </w:p>
    <w:p w:rsidR="00D33724" w:rsidRDefault="00DA7093" w:rsidP="00D33724">
      <w:pPr>
        <w:rPr>
          <w:rFonts w:ascii="exo2-medium" w:hAnsi="exo2-medium" w:cs="Arial"/>
          <w:b/>
          <w:bCs/>
          <w:sz w:val="44"/>
          <w:szCs w:val="54"/>
        </w:rPr>
      </w:pPr>
      <w:r w:rsidRPr="00DA7093">
        <w:rPr>
          <w:rFonts w:ascii="exo2-medium" w:hAnsi="exo2-medium" w:cs="Arial"/>
          <w:b/>
          <w:bCs/>
          <w:sz w:val="44"/>
          <w:szCs w:val="54"/>
        </w:rPr>
        <w:t xml:space="preserve">В Российской Федерации </w:t>
      </w:r>
      <w:r w:rsidR="00254069" w:rsidRPr="00884763">
        <w:rPr>
          <w:rFonts w:ascii="exo2-medium" w:hAnsi="exo2-medium" w:cs="Arial"/>
          <w:b/>
          <w:bCs/>
          <w:sz w:val="44"/>
          <w:szCs w:val="54"/>
        </w:rPr>
        <w:t>начало оформления электронных паспортов не будет перенесено</w:t>
      </w:r>
    </w:p>
    <w:p w:rsidR="00D33724" w:rsidRPr="001919C1" w:rsidRDefault="00D33724" w:rsidP="00D33724">
      <w:pPr>
        <w:rPr>
          <w:rFonts w:ascii="exo2-medium" w:hAnsi="exo2-medium" w:cs="Arial"/>
          <w:b/>
          <w:bCs/>
          <w:sz w:val="44"/>
          <w:szCs w:val="54"/>
        </w:rPr>
      </w:pPr>
    </w:p>
    <w:p w:rsidR="00A250CE" w:rsidRPr="00A250CE" w:rsidRDefault="00A250CE" w:rsidP="00A250CE">
      <w:pPr>
        <w:spacing w:line="360" w:lineRule="auto"/>
        <w:ind w:firstLine="425"/>
        <w:jc w:val="both"/>
      </w:pPr>
    </w:p>
    <w:p w:rsidR="00A250CE" w:rsidRPr="00A250CE" w:rsidRDefault="00A250CE" w:rsidP="00884763">
      <w:pPr>
        <w:spacing w:line="360" w:lineRule="auto"/>
        <w:ind w:firstLine="425"/>
        <w:jc w:val="both"/>
      </w:pPr>
      <w:proofErr w:type="gramStart"/>
      <w:r w:rsidRPr="00A250CE">
        <w:t>29 мая 2018 года на заседании Коллегии Евразийской экономической комиссии принято решение продлить до 1 ноября 2019 года</w:t>
      </w:r>
      <w:r w:rsidR="00884763">
        <w:t xml:space="preserve">, наряду с оформлением электронных паспортов, </w:t>
      </w:r>
      <w:r w:rsidRPr="00A250CE">
        <w:t xml:space="preserve"> возможност</w:t>
      </w:r>
      <w:r w:rsidR="00884763">
        <w:t>ь</w:t>
      </w:r>
      <w:r w:rsidRPr="00A250CE">
        <w:t xml:space="preserve"> оформления паспортов транспортных средств (шасси), самоходных машин и других видов техники по форме и в соответствии с правилами, утвержденными государствами-членами или нормативными правовыми актами Евр</w:t>
      </w:r>
      <w:r w:rsidR="00884763">
        <w:t>азийского Экономического Союза</w:t>
      </w:r>
      <w:r w:rsidRPr="00A250CE">
        <w:t>.</w:t>
      </w:r>
      <w:proofErr w:type="gramEnd"/>
    </w:p>
    <w:p w:rsidR="00884763" w:rsidRDefault="00884763" w:rsidP="00A250CE">
      <w:pPr>
        <w:spacing w:line="360" w:lineRule="auto"/>
        <w:ind w:firstLine="425"/>
        <w:jc w:val="both"/>
        <w:rPr>
          <w:bCs/>
        </w:rPr>
      </w:pPr>
      <w:r w:rsidRPr="00884763">
        <w:rPr>
          <w:bCs/>
        </w:rPr>
        <w:t xml:space="preserve">Данное решение направлено на предоставление возможности госорганам государств – членов ЕАЭС завершить работы по созданию национальных сегментов систем электронных паспортов на автомобили. </w:t>
      </w:r>
    </w:p>
    <w:p w:rsidR="00A250CE" w:rsidRPr="00A250CE" w:rsidRDefault="00A250CE" w:rsidP="00A250CE">
      <w:pPr>
        <w:spacing w:line="360" w:lineRule="auto"/>
        <w:ind w:firstLine="425"/>
        <w:jc w:val="both"/>
        <w:rPr>
          <w:bCs/>
        </w:rPr>
      </w:pPr>
      <w:r w:rsidRPr="00A250CE">
        <w:rPr>
          <w:bCs/>
        </w:rPr>
        <w:t xml:space="preserve">Вместе с тем в Российской Федерации, с учетом высокой степени готовности, начало применения электронных паспортов транспортных средств ожидается в соответствии с ранее намеченными сроками – с июля 2018 года. При этом оформление первых ЭПТС отдельными организациями-изготовителями автомобилей планируется уже в июне. </w:t>
      </w:r>
    </w:p>
    <w:p w:rsidR="00A250CE" w:rsidRPr="00A250CE" w:rsidRDefault="00A250CE" w:rsidP="00A250CE">
      <w:pPr>
        <w:spacing w:line="360" w:lineRule="auto"/>
        <w:ind w:firstLine="425"/>
        <w:jc w:val="both"/>
        <w:rPr>
          <w:bCs/>
        </w:rPr>
      </w:pPr>
      <w:r w:rsidRPr="00A250CE">
        <w:rPr>
          <w:bCs/>
        </w:rPr>
        <w:t xml:space="preserve">Российская Федерация демонстрирует готовность к переходу на ЭПТС как с точки зрения создания необходимой нормативно-правовой базы, так и с точки зрения выстраивания механизмов взаимодействия </w:t>
      </w:r>
      <w:r w:rsidR="00CB1C08">
        <w:rPr>
          <w:bCs/>
        </w:rPr>
        <w:t xml:space="preserve">со </w:t>
      </w:r>
      <w:bookmarkStart w:id="0" w:name="_GoBack"/>
      <w:bookmarkEnd w:id="0"/>
      <w:r w:rsidRPr="00A250CE">
        <w:rPr>
          <w:bCs/>
        </w:rPr>
        <w:t>всеми участниками системы.</w:t>
      </w:r>
    </w:p>
    <w:p w:rsidR="00A250CE" w:rsidRPr="00A250CE" w:rsidRDefault="00A250CE" w:rsidP="00A250CE">
      <w:pPr>
        <w:spacing w:line="360" w:lineRule="auto"/>
        <w:ind w:firstLine="425"/>
        <w:jc w:val="both"/>
        <w:rPr>
          <w:bCs/>
        </w:rPr>
      </w:pPr>
      <w:r w:rsidRPr="00A250CE">
        <w:rPr>
          <w:bCs/>
        </w:rPr>
        <w:lastRenderedPageBreak/>
        <w:t>Последний необходимый нормативный акт – приказ МВД об изменениях в порядке регистрации транспортных средств – запланирован к принятию в июне текущего года.</w:t>
      </w:r>
    </w:p>
    <w:p w:rsidR="00A250CE" w:rsidRPr="00A250CE" w:rsidRDefault="00A250CE" w:rsidP="00A250CE">
      <w:pPr>
        <w:spacing w:line="360" w:lineRule="auto"/>
        <w:ind w:firstLine="425"/>
        <w:jc w:val="both"/>
        <w:rPr>
          <w:bCs/>
        </w:rPr>
      </w:pPr>
      <w:r w:rsidRPr="00A250CE">
        <w:rPr>
          <w:bCs/>
        </w:rPr>
        <w:t>В практическом плане в рамках переходного периода производители, активно участвующие в тестировании системы электронных паспортов, прошли большой путь, проведя необходимую перестройку своих внутренних бизнес-процессов и демонстрируя на сегодняшний момент практически полную готовность к работе с электронными паспортами. В общей сложности за время переходного периода более чем 100 организаций, выпускающих в обращение около 97% от всех производимых в Российской Федерации транспортных средств, оформили в тестовом режиме более 18 тысяч электронных паспортов.</w:t>
      </w:r>
      <w:r w:rsidRPr="00A250CE">
        <w:t xml:space="preserve"> </w:t>
      </w:r>
      <w:r w:rsidRPr="00A250CE">
        <w:rPr>
          <w:bCs/>
        </w:rPr>
        <w:t>В единый реестр организаций-</w:t>
      </w:r>
      <w:proofErr w:type="gramStart"/>
      <w:r w:rsidRPr="00A250CE">
        <w:rPr>
          <w:bCs/>
        </w:rPr>
        <w:t>изготовителей, уполномоченных на оформление электронных паспортов включено</w:t>
      </w:r>
      <w:proofErr w:type="gramEnd"/>
      <w:r w:rsidRPr="00A250CE">
        <w:rPr>
          <w:bCs/>
        </w:rPr>
        <w:t xml:space="preserve"> 292 организации.</w:t>
      </w:r>
    </w:p>
    <w:p w:rsidR="00A250CE" w:rsidRPr="00A250CE" w:rsidRDefault="00A250CE" w:rsidP="00A250CE">
      <w:pPr>
        <w:spacing w:line="360" w:lineRule="auto"/>
        <w:ind w:firstLine="425"/>
        <w:jc w:val="both"/>
        <w:rPr>
          <w:bCs/>
        </w:rPr>
      </w:pPr>
      <w:r w:rsidRPr="00A250CE">
        <w:rPr>
          <w:bCs/>
        </w:rPr>
        <w:t xml:space="preserve">В мае текущего года АО «Электронный паспорт» совместно с </w:t>
      </w:r>
      <w:proofErr w:type="spellStart"/>
      <w:r w:rsidRPr="00A250CE">
        <w:rPr>
          <w:bCs/>
        </w:rPr>
        <w:t>Минпромторгом</w:t>
      </w:r>
      <w:proofErr w:type="spellEnd"/>
      <w:r w:rsidRPr="00A250CE">
        <w:rPr>
          <w:bCs/>
        </w:rPr>
        <w:t xml:space="preserve"> России провели в общей сложности 6 масштабных конференций, которые позволили всем заинтересованным организациям в</w:t>
      </w:r>
      <w:r>
        <w:rPr>
          <w:bCs/>
        </w:rPr>
        <w:t xml:space="preserve"> </w:t>
      </w:r>
      <w:r w:rsidRPr="00884763">
        <w:rPr>
          <w:bCs/>
        </w:rPr>
        <w:t xml:space="preserve">непосредственном контакте обсудить завершающие шаги по переходу на электронный паспорт транспортного средства. Для каждой категории организаций был представлен пошаговый план подключения и начала работы в системах электронных паспортов, а также план проведения </w:t>
      </w:r>
      <w:proofErr w:type="spellStart"/>
      <w:r w:rsidRPr="00884763">
        <w:rPr>
          <w:bCs/>
        </w:rPr>
        <w:t>вебинаров</w:t>
      </w:r>
      <w:proofErr w:type="spellEnd"/>
      <w:r w:rsidRPr="00884763">
        <w:rPr>
          <w:bCs/>
        </w:rPr>
        <w:t xml:space="preserve"> для обсуждения практического взаимодействия и других вопросов.</w:t>
      </w:r>
      <w:r>
        <w:rPr>
          <w:bCs/>
        </w:rPr>
        <w:t xml:space="preserve"> </w:t>
      </w:r>
    </w:p>
    <w:p w:rsidR="00A250CE" w:rsidRPr="00A250CE" w:rsidRDefault="00A250CE" w:rsidP="00A250CE">
      <w:pPr>
        <w:spacing w:line="360" w:lineRule="auto"/>
        <w:ind w:firstLine="425"/>
        <w:jc w:val="both"/>
        <w:rPr>
          <w:bCs/>
        </w:rPr>
      </w:pPr>
      <w:r w:rsidRPr="00A250CE">
        <w:rPr>
          <w:bCs/>
        </w:rPr>
        <w:t>Также на днях достигнута принципиальная договоренность о механизме обмена информацией между Российским союзом автостраховщиков (РСА) и АО «Электронный паспорт», что позволит страховым организациям получать информацию для оформления полисов ОСАГО на автомобили с ЭПТС.</w:t>
      </w:r>
    </w:p>
    <w:p w:rsidR="00A250CE" w:rsidRPr="00A250CE" w:rsidRDefault="00884763" w:rsidP="00A250CE">
      <w:pPr>
        <w:spacing w:line="360" w:lineRule="auto"/>
        <w:ind w:firstLine="425"/>
        <w:jc w:val="both"/>
        <w:rPr>
          <w:bCs/>
        </w:rPr>
      </w:pPr>
      <w:r>
        <w:rPr>
          <w:bCs/>
        </w:rPr>
        <w:t>Таким образом, с</w:t>
      </w:r>
      <w:r w:rsidR="00A250CE" w:rsidRPr="00A250CE">
        <w:rPr>
          <w:bCs/>
        </w:rPr>
        <w:t>истемы электронных паспортов в Российской Федерации готовы к работе, и уже в ближайшее время предполагается начать оформление юридически значимых электронных паспортов на транспортные средства, выпускаемые в обращение, с последующей их регистрацией в ГИБДД.</w:t>
      </w:r>
    </w:p>
    <w:p w:rsidR="00884763" w:rsidRPr="00884763" w:rsidRDefault="00884763" w:rsidP="00884763">
      <w:pPr>
        <w:spacing w:line="360" w:lineRule="auto"/>
        <w:ind w:firstLine="425"/>
        <w:jc w:val="both"/>
        <w:rPr>
          <w:bCs/>
        </w:rPr>
      </w:pPr>
      <w:r>
        <w:rPr>
          <w:bCs/>
        </w:rPr>
        <w:t>Н</w:t>
      </w:r>
      <w:r w:rsidRPr="00884763">
        <w:rPr>
          <w:bCs/>
        </w:rPr>
        <w:t>а Коллегии Комиссии, после обстоятельного обсуждения, принято решение о необходимости ответственными за реализацию Соглашения госорганами подготовить планы введения национальных сегментов единой системы электронных паспортов транспортных средств, самоходных машин и других видов техники, и представить их до 1 июля 2018 года в Комиссию.</w:t>
      </w:r>
    </w:p>
    <w:p w:rsidR="00884763" w:rsidRPr="00884763" w:rsidRDefault="00884763" w:rsidP="00884763">
      <w:pPr>
        <w:spacing w:line="360" w:lineRule="auto"/>
        <w:ind w:firstLine="425"/>
        <w:jc w:val="both"/>
        <w:rPr>
          <w:bCs/>
        </w:rPr>
      </w:pPr>
      <w:r w:rsidRPr="00884763">
        <w:rPr>
          <w:bCs/>
        </w:rPr>
        <w:t>Создание таких планов позволит государствам-членам ЕАЭС полноценнее подготовит</w:t>
      </w:r>
      <w:r w:rsidR="003F6D79">
        <w:rPr>
          <w:bCs/>
        </w:rPr>
        <w:t>ь</w:t>
      </w:r>
      <w:r w:rsidRPr="00884763">
        <w:rPr>
          <w:bCs/>
        </w:rPr>
        <w:t xml:space="preserve">ся к созданию своего национального сегмента общей системы, не прибегая к созданию временных схем, а также создает условия, при которых государства-члены ЕАЭС имеют возможность планомерного ввода отдельных элементов национального </w:t>
      </w:r>
      <w:r w:rsidRPr="00884763">
        <w:rPr>
          <w:bCs/>
        </w:rPr>
        <w:lastRenderedPageBreak/>
        <w:t>сегмента для разных категорий автомобилей или участников систем. Сразу следует отметить, что оформленные ранее или в этот период бумажные паспорта, в соответствии с правом ЕАЭС или государства-члена ЕАЭС, будут обращаться бессрочно, пока владелец сам не захочет поменять его на электронный паспорт.</w:t>
      </w:r>
    </w:p>
    <w:p w:rsidR="00A250CE" w:rsidRPr="00A250CE" w:rsidRDefault="00884763" w:rsidP="00884763">
      <w:pPr>
        <w:spacing w:line="360" w:lineRule="auto"/>
        <w:ind w:firstLine="425"/>
        <w:jc w:val="both"/>
        <w:rPr>
          <w:bCs/>
        </w:rPr>
      </w:pPr>
      <w:r w:rsidRPr="00884763">
        <w:rPr>
          <w:bCs/>
        </w:rPr>
        <w:t>Принятые Коллегией Комиссии 29 мая 2018 года решения также предоставляют возможность отладки взаимодействия участников систем электронных паспортов, в том числе на уровне межгосударственного взаимодействия.</w:t>
      </w:r>
    </w:p>
    <w:p w:rsidR="00A250CE" w:rsidRPr="00A250CE" w:rsidRDefault="00A250CE" w:rsidP="00A250CE">
      <w:pPr>
        <w:spacing w:line="360" w:lineRule="auto"/>
        <w:ind w:firstLine="425"/>
        <w:jc w:val="both"/>
        <w:rPr>
          <w:bCs/>
        </w:rPr>
      </w:pPr>
    </w:p>
    <w:p w:rsidR="00A250CE" w:rsidRPr="00A250CE" w:rsidRDefault="00A250CE" w:rsidP="006508C8">
      <w:pPr>
        <w:spacing w:line="276" w:lineRule="auto"/>
        <w:ind w:firstLine="425"/>
        <w:jc w:val="both"/>
        <w:rPr>
          <w:b/>
          <w:bCs/>
        </w:rPr>
      </w:pPr>
      <w:r w:rsidRPr="00A250CE">
        <w:rPr>
          <w:b/>
          <w:bCs/>
        </w:rPr>
        <w:t>О Системах электронных паспортов</w:t>
      </w: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  <w:r w:rsidRPr="00A250CE">
        <w:rPr>
          <w:bCs/>
        </w:rPr>
        <w:t>Представители Правительств Республики Беларусь, Республики Казахстан и Российской Федерации 15 августа 2014 года подписали Соглашение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паспортов.</w:t>
      </w: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  <w:proofErr w:type="spellStart"/>
      <w:r w:rsidRPr="00A250CE">
        <w:rPr>
          <w:bCs/>
        </w:rPr>
        <w:t>Кыргызская</w:t>
      </w:r>
      <w:proofErr w:type="spellEnd"/>
      <w:r w:rsidRPr="00A250CE">
        <w:rPr>
          <w:bCs/>
        </w:rPr>
        <w:t xml:space="preserve"> Республика присоединилась к указанному соглашению. Республика Армения находится в процессе присоединения к Соглашению и принимает участие во всех мероприятиях, направленных на его реализацию. </w:t>
      </w: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  <w:r w:rsidRPr="00A250CE">
        <w:rPr>
          <w:bCs/>
        </w:rPr>
        <w:t>С 1 октября 2016 года началось тестирование, а впоследствии испытания Автоматизированной системы «Системы электронных паспортов транспортного средства (паспортов шасси транспортного средства) и электронных паспортов самоходной машины и других видов техники» (АС «СЭП») в отношении транспортных средств и шасси транспортных средств.</w:t>
      </w: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  <w:r w:rsidRPr="00A250CE">
        <w:rPr>
          <w:bCs/>
        </w:rPr>
        <w:t xml:space="preserve">Реализация Соглашения и введение электронных паспортов – это интеграционный проект, направленный на создание условий для обеспечения свободного обращения транспортных средств (шасси транспортных средств), самоходных машин и других видов техники на территории всех государств-членов ЕАЭС. </w:t>
      </w: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</w:p>
    <w:p w:rsidR="00A250CE" w:rsidRPr="00A250CE" w:rsidRDefault="00A250CE" w:rsidP="006508C8">
      <w:pPr>
        <w:spacing w:line="276" w:lineRule="auto"/>
        <w:ind w:firstLine="425"/>
        <w:jc w:val="both"/>
        <w:rPr>
          <w:b/>
          <w:bCs/>
        </w:rPr>
      </w:pPr>
      <w:r w:rsidRPr="00A250CE">
        <w:rPr>
          <w:b/>
          <w:bCs/>
        </w:rPr>
        <w:t xml:space="preserve">Основные преимущества электронного паспорта транспортного средства для </w:t>
      </w:r>
      <w:proofErr w:type="gramStart"/>
      <w:r w:rsidRPr="00A250CE">
        <w:rPr>
          <w:b/>
          <w:bCs/>
        </w:rPr>
        <w:t>российских</w:t>
      </w:r>
      <w:proofErr w:type="gramEnd"/>
      <w:r w:rsidRPr="00A250CE">
        <w:rPr>
          <w:b/>
          <w:bCs/>
        </w:rPr>
        <w:t xml:space="preserve"> автовладельцев: </w:t>
      </w:r>
    </w:p>
    <w:p w:rsidR="00A250CE" w:rsidRPr="00A250CE" w:rsidRDefault="00A250CE" w:rsidP="006508C8">
      <w:pPr>
        <w:spacing w:line="276" w:lineRule="auto"/>
        <w:ind w:firstLine="425"/>
        <w:jc w:val="both"/>
        <w:rPr>
          <w:b/>
          <w:bCs/>
        </w:rPr>
      </w:pP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  <w:r w:rsidRPr="00A250CE">
        <w:rPr>
          <w:bCs/>
        </w:rPr>
        <w:t>•</w:t>
      </w:r>
      <w:r w:rsidRPr="00A250CE">
        <w:rPr>
          <w:bCs/>
        </w:rPr>
        <w:tab/>
        <w:t>Переход на электронный паспорт транспортного средства не меняет привычной логики поведения автовладельцев – у владельца на руках по-прежнему остается договор купли-продажи и, после регистрации – Свидетельство о регистрации транспортного средства (СТС).</w:t>
      </w: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  <w:r w:rsidRPr="00A250CE">
        <w:rPr>
          <w:bCs/>
        </w:rPr>
        <w:t>При этом</w:t>
      </w:r>
      <w:proofErr w:type="gramStart"/>
      <w:r w:rsidRPr="00A250CE">
        <w:rPr>
          <w:bCs/>
        </w:rPr>
        <w:t>,</w:t>
      </w:r>
      <w:proofErr w:type="gramEnd"/>
      <w:r w:rsidRPr="00A250CE">
        <w:rPr>
          <w:bCs/>
        </w:rPr>
        <w:t xml:space="preserve"> собственник, зарегистрированный в Системах электронных паспортов получит доступ к своему электронному паспорту, а у сотрудников ГИБДД будет обеспечен доступ к электронным паспортам для осуществления регистрационных действий.</w:t>
      </w: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  <w:r w:rsidRPr="00A250CE">
        <w:rPr>
          <w:bCs/>
        </w:rPr>
        <w:t>•</w:t>
      </w:r>
      <w:r w:rsidRPr="00A250CE">
        <w:rPr>
          <w:bCs/>
        </w:rPr>
        <w:tab/>
        <w:t>Исключение из оборота документа личного хранения – ПТС на бумажном носителе.</w:t>
      </w: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  <w:r w:rsidRPr="00A250CE">
        <w:rPr>
          <w:bCs/>
        </w:rPr>
        <w:lastRenderedPageBreak/>
        <w:t>•</w:t>
      </w:r>
      <w:r w:rsidRPr="00A250CE">
        <w:rPr>
          <w:bCs/>
        </w:rPr>
        <w:tab/>
        <w:t>Возможность создания максимально полной история транспортного средства, основанной на данных из заслуживающих доверия источников, включая информацию об ограничениях и обременениях, о страховании и страховых случаях.</w:t>
      </w: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  <w:r w:rsidRPr="00A250CE">
        <w:rPr>
          <w:bCs/>
        </w:rPr>
        <w:t>•</w:t>
      </w:r>
      <w:r w:rsidRPr="00A250CE">
        <w:rPr>
          <w:bCs/>
        </w:rPr>
        <w:tab/>
        <w:t>Наличие более полной и детальной информации о транспортном средстве в электронном паспорте позволит обезопасить участников рынка от различных злоупотреблений в отношении автомобилей.</w:t>
      </w:r>
    </w:p>
    <w:p w:rsidR="00A250CE" w:rsidRPr="00A250CE" w:rsidRDefault="00A250CE" w:rsidP="006508C8">
      <w:pPr>
        <w:spacing w:line="276" w:lineRule="auto"/>
        <w:ind w:firstLine="425"/>
        <w:jc w:val="both"/>
        <w:rPr>
          <w:bCs/>
        </w:rPr>
      </w:pPr>
      <w:r w:rsidRPr="00A250CE">
        <w:rPr>
          <w:bCs/>
        </w:rPr>
        <w:t>•</w:t>
      </w:r>
      <w:r w:rsidRPr="00A250CE">
        <w:rPr>
          <w:bCs/>
        </w:rPr>
        <w:tab/>
        <w:t>Получение электронного паспорта транспортного средства взамен бумажного дешевле – 600 рублей (вместо 800 рублей за «бумажный» ПТС) и носит добровольный характер.</w:t>
      </w:r>
    </w:p>
    <w:p w:rsidR="00A250CE" w:rsidRPr="00A250CE" w:rsidRDefault="00A250CE" w:rsidP="00A250CE">
      <w:pPr>
        <w:spacing w:line="360" w:lineRule="auto"/>
        <w:ind w:firstLine="425"/>
        <w:jc w:val="both"/>
        <w:rPr>
          <w:bCs/>
        </w:rPr>
      </w:pPr>
    </w:p>
    <w:p w:rsidR="00A250CE" w:rsidRPr="00A250CE" w:rsidRDefault="00A250CE" w:rsidP="00A250CE">
      <w:pPr>
        <w:spacing w:line="360" w:lineRule="auto"/>
        <w:ind w:firstLine="425"/>
        <w:jc w:val="both"/>
        <w:rPr>
          <w:bCs/>
        </w:rPr>
      </w:pPr>
    </w:p>
    <w:p w:rsidR="00C205B1" w:rsidRPr="007974C6" w:rsidRDefault="00C205B1" w:rsidP="00C205B1">
      <w:pPr>
        <w:ind w:firstLine="284"/>
        <w:rPr>
          <w:b/>
        </w:rPr>
      </w:pPr>
      <w:r w:rsidRPr="007974C6">
        <w:rPr>
          <w:rFonts w:hint="eastAsia"/>
          <w:b/>
        </w:rPr>
        <w:t>Об</w:t>
      </w:r>
      <w:r w:rsidRPr="007974C6">
        <w:rPr>
          <w:b/>
        </w:rPr>
        <w:t xml:space="preserve"> </w:t>
      </w:r>
      <w:r w:rsidRPr="007974C6">
        <w:rPr>
          <w:rFonts w:hint="eastAsia"/>
          <w:b/>
        </w:rPr>
        <w:t>АО</w:t>
      </w:r>
      <w:r w:rsidRPr="007974C6">
        <w:rPr>
          <w:b/>
        </w:rPr>
        <w:t xml:space="preserve"> </w:t>
      </w:r>
      <w:r w:rsidRPr="007974C6">
        <w:rPr>
          <w:rFonts w:hint="eastAsia"/>
          <w:b/>
        </w:rPr>
        <w:t>«Электронный</w:t>
      </w:r>
      <w:r w:rsidRPr="007974C6">
        <w:rPr>
          <w:b/>
        </w:rPr>
        <w:t xml:space="preserve"> </w:t>
      </w:r>
      <w:r w:rsidRPr="007974C6">
        <w:rPr>
          <w:rFonts w:hint="eastAsia"/>
          <w:b/>
        </w:rPr>
        <w:t>паспорт»</w:t>
      </w:r>
    </w:p>
    <w:p w:rsidR="00C205B1" w:rsidRPr="007974C6" w:rsidRDefault="00C205B1" w:rsidP="00C205B1">
      <w:pPr>
        <w:ind w:firstLine="284"/>
      </w:pPr>
    </w:p>
    <w:p w:rsidR="00C205B1" w:rsidRPr="007974C6" w:rsidRDefault="00C205B1" w:rsidP="00C205B1">
      <w:pPr>
        <w:ind w:firstLine="284"/>
        <w:jc w:val="both"/>
      </w:pPr>
      <w:r w:rsidRPr="007974C6">
        <w:rPr>
          <w:rFonts w:hint="eastAsia"/>
        </w:rPr>
        <w:t>Акционерное</w:t>
      </w:r>
      <w:r w:rsidRPr="007974C6">
        <w:t xml:space="preserve"> </w:t>
      </w:r>
      <w:r w:rsidRPr="007974C6">
        <w:rPr>
          <w:rFonts w:hint="eastAsia"/>
        </w:rPr>
        <w:t>общество</w:t>
      </w:r>
      <w:r w:rsidRPr="007974C6">
        <w:t xml:space="preserve"> </w:t>
      </w:r>
      <w:r w:rsidRPr="007974C6">
        <w:rPr>
          <w:rFonts w:hint="eastAsia"/>
        </w:rPr>
        <w:t>«Электронный</w:t>
      </w:r>
      <w:r w:rsidRPr="007974C6">
        <w:t xml:space="preserve"> </w:t>
      </w:r>
      <w:r w:rsidRPr="007974C6">
        <w:rPr>
          <w:rFonts w:hint="eastAsia"/>
        </w:rPr>
        <w:t>паспорт»</w:t>
      </w:r>
      <w:r w:rsidRPr="007974C6">
        <w:t xml:space="preserve"> </w:t>
      </w:r>
      <w:r w:rsidRPr="007974C6">
        <w:rPr>
          <w:rFonts w:hint="eastAsia"/>
        </w:rPr>
        <w:t>входит</w:t>
      </w:r>
      <w:r w:rsidRPr="007974C6">
        <w:t xml:space="preserve"> </w:t>
      </w:r>
      <w:r w:rsidRPr="007974C6">
        <w:rPr>
          <w:rFonts w:hint="eastAsia"/>
        </w:rPr>
        <w:t>в</w:t>
      </w:r>
      <w:r w:rsidRPr="007974C6">
        <w:t xml:space="preserve"> </w:t>
      </w:r>
      <w:r w:rsidRPr="007974C6">
        <w:rPr>
          <w:rFonts w:hint="eastAsia"/>
        </w:rPr>
        <w:t>структуру</w:t>
      </w:r>
      <w:r w:rsidRPr="007974C6">
        <w:t xml:space="preserve"> </w:t>
      </w:r>
      <w:r w:rsidRPr="007974C6">
        <w:rPr>
          <w:rFonts w:hint="eastAsia"/>
        </w:rPr>
        <w:t>Государственной</w:t>
      </w:r>
      <w:r w:rsidRPr="007974C6">
        <w:t xml:space="preserve"> </w:t>
      </w:r>
      <w:r w:rsidRPr="007974C6">
        <w:rPr>
          <w:rFonts w:hint="eastAsia"/>
        </w:rPr>
        <w:t>корпорации</w:t>
      </w:r>
      <w:r w:rsidRPr="007974C6">
        <w:t xml:space="preserve"> </w:t>
      </w:r>
      <w:r w:rsidRPr="007974C6">
        <w:rPr>
          <w:rFonts w:hint="eastAsia"/>
        </w:rPr>
        <w:t>«Ростех»</w:t>
      </w:r>
      <w:r w:rsidRPr="007974C6">
        <w:t xml:space="preserve"> </w:t>
      </w:r>
      <w:r w:rsidRPr="007974C6">
        <w:rPr>
          <w:rFonts w:hint="eastAsia"/>
        </w:rPr>
        <w:t>и</w:t>
      </w:r>
      <w:r w:rsidRPr="007974C6">
        <w:t xml:space="preserve"> </w:t>
      </w:r>
      <w:r w:rsidRPr="007974C6">
        <w:rPr>
          <w:rFonts w:hint="eastAsia"/>
        </w:rPr>
        <w:t>осуществляет</w:t>
      </w:r>
      <w:r w:rsidRPr="007974C6">
        <w:t xml:space="preserve"> </w:t>
      </w:r>
      <w:r w:rsidRPr="007974C6">
        <w:rPr>
          <w:rFonts w:hint="eastAsia"/>
        </w:rPr>
        <w:t>деятельность</w:t>
      </w:r>
      <w:r w:rsidRPr="007974C6">
        <w:t xml:space="preserve"> </w:t>
      </w:r>
      <w:r w:rsidRPr="007974C6">
        <w:rPr>
          <w:rFonts w:hint="eastAsia"/>
        </w:rPr>
        <w:t>по</w:t>
      </w:r>
      <w:r w:rsidRPr="007974C6">
        <w:t xml:space="preserve"> </w:t>
      </w:r>
      <w:r w:rsidRPr="007974C6">
        <w:rPr>
          <w:rFonts w:hint="eastAsia"/>
        </w:rPr>
        <w:t>организации</w:t>
      </w:r>
      <w:r w:rsidRPr="007974C6">
        <w:t xml:space="preserve"> </w:t>
      </w:r>
      <w:r w:rsidRPr="007974C6">
        <w:rPr>
          <w:rFonts w:hint="eastAsia"/>
        </w:rPr>
        <w:t>и</w:t>
      </w:r>
      <w:r w:rsidRPr="007974C6">
        <w:t xml:space="preserve"> </w:t>
      </w:r>
      <w:r w:rsidRPr="007974C6">
        <w:rPr>
          <w:rFonts w:hint="eastAsia"/>
        </w:rPr>
        <w:t>обеспечению</w:t>
      </w:r>
      <w:r w:rsidRPr="007974C6">
        <w:t xml:space="preserve"> </w:t>
      </w:r>
      <w:r w:rsidRPr="007974C6">
        <w:rPr>
          <w:rFonts w:hint="eastAsia"/>
        </w:rPr>
        <w:t>функционирования</w:t>
      </w:r>
      <w:r w:rsidRPr="007974C6">
        <w:t xml:space="preserve"> </w:t>
      </w:r>
      <w:r w:rsidRPr="007974C6">
        <w:rPr>
          <w:rFonts w:hint="eastAsia"/>
        </w:rPr>
        <w:t>Систем</w:t>
      </w:r>
      <w:r w:rsidRPr="007974C6">
        <w:t xml:space="preserve"> </w:t>
      </w:r>
      <w:r w:rsidRPr="007974C6">
        <w:rPr>
          <w:rFonts w:hint="eastAsia"/>
        </w:rPr>
        <w:t>электронных</w:t>
      </w:r>
      <w:r w:rsidRPr="007974C6">
        <w:t xml:space="preserve"> </w:t>
      </w:r>
      <w:r w:rsidRPr="007974C6">
        <w:rPr>
          <w:rFonts w:hint="eastAsia"/>
        </w:rPr>
        <w:t>паспортов</w:t>
      </w:r>
      <w:r w:rsidRPr="007974C6">
        <w:t xml:space="preserve"> </w:t>
      </w:r>
      <w:r w:rsidRPr="007974C6">
        <w:rPr>
          <w:rFonts w:hint="eastAsia"/>
        </w:rPr>
        <w:t>в</w:t>
      </w:r>
      <w:r w:rsidRPr="007974C6">
        <w:t xml:space="preserve"> </w:t>
      </w:r>
      <w:r w:rsidRPr="007974C6">
        <w:rPr>
          <w:rFonts w:hint="eastAsia"/>
        </w:rPr>
        <w:t>рамках</w:t>
      </w:r>
      <w:r w:rsidRPr="007974C6">
        <w:t xml:space="preserve"> </w:t>
      </w:r>
      <w:r w:rsidRPr="007974C6">
        <w:rPr>
          <w:rFonts w:hint="eastAsia"/>
        </w:rPr>
        <w:t>ЕАЭС</w:t>
      </w:r>
      <w:r w:rsidRPr="007974C6">
        <w:t xml:space="preserve">. </w:t>
      </w:r>
      <w:r>
        <w:t>АО «</w:t>
      </w:r>
      <w:r w:rsidRPr="007974C6">
        <w:rPr>
          <w:rFonts w:hint="eastAsia"/>
        </w:rPr>
        <w:t>Электронный</w:t>
      </w:r>
      <w:r w:rsidRPr="007974C6">
        <w:t xml:space="preserve"> </w:t>
      </w:r>
      <w:r w:rsidRPr="007974C6">
        <w:rPr>
          <w:rFonts w:hint="eastAsia"/>
        </w:rPr>
        <w:t>паспорт»</w:t>
      </w:r>
      <w:r>
        <w:t xml:space="preserve"> я</w:t>
      </w:r>
      <w:r w:rsidRPr="007974C6">
        <w:rPr>
          <w:rFonts w:hint="eastAsia"/>
        </w:rPr>
        <w:t>вляется</w:t>
      </w:r>
      <w:r w:rsidRPr="007974C6">
        <w:t xml:space="preserve"> </w:t>
      </w:r>
      <w:r w:rsidRPr="007974C6">
        <w:rPr>
          <w:rFonts w:hint="eastAsia"/>
        </w:rPr>
        <w:t>администратором</w:t>
      </w:r>
      <w:r w:rsidRPr="007974C6">
        <w:t xml:space="preserve"> </w:t>
      </w:r>
      <w:r w:rsidRPr="007974C6">
        <w:rPr>
          <w:rFonts w:hint="eastAsia"/>
        </w:rPr>
        <w:t>Систем</w:t>
      </w:r>
      <w:r w:rsidRPr="007974C6">
        <w:t xml:space="preserve"> </w:t>
      </w:r>
      <w:r w:rsidRPr="007974C6">
        <w:rPr>
          <w:rFonts w:hint="eastAsia"/>
        </w:rPr>
        <w:t>электронных</w:t>
      </w:r>
      <w:r w:rsidRPr="007974C6">
        <w:t xml:space="preserve"> </w:t>
      </w:r>
      <w:r w:rsidRPr="007974C6">
        <w:rPr>
          <w:rFonts w:hint="eastAsia"/>
        </w:rPr>
        <w:t>паспортов</w:t>
      </w:r>
      <w:r w:rsidRPr="007974C6">
        <w:t xml:space="preserve"> </w:t>
      </w:r>
      <w:r w:rsidRPr="007974C6">
        <w:rPr>
          <w:rFonts w:hint="eastAsia"/>
        </w:rPr>
        <w:t>в</w:t>
      </w:r>
      <w:r w:rsidRPr="007974C6">
        <w:t xml:space="preserve"> </w:t>
      </w:r>
      <w:r w:rsidRPr="007974C6">
        <w:rPr>
          <w:rFonts w:hint="eastAsia"/>
        </w:rPr>
        <w:t>ЕАЭС</w:t>
      </w:r>
      <w:r w:rsidRPr="007974C6">
        <w:t>.</w:t>
      </w:r>
    </w:p>
    <w:p w:rsidR="00C205B1" w:rsidRDefault="00C205B1" w:rsidP="00C205B1">
      <w:r>
        <w:t xml:space="preserve"> </w:t>
      </w:r>
    </w:p>
    <w:p w:rsidR="00801B7F" w:rsidRPr="007974C6" w:rsidRDefault="00801B7F" w:rsidP="00801B7F">
      <w:r w:rsidRPr="007974C6">
        <w:t xml:space="preserve">Дополнительная информация для СМИ: </w:t>
      </w:r>
    </w:p>
    <w:p w:rsidR="00801B7F" w:rsidRPr="007974C6" w:rsidRDefault="00801B7F" w:rsidP="00801B7F">
      <w:r w:rsidRPr="007974C6">
        <w:rPr>
          <w:lang w:val="en-US"/>
        </w:rPr>
        <w:t>press</w:t>
      </w:r>
      <w:r w:rsidRPr="007974C6">
        <w:t>@</w:t>
      </w:r>
      <w:proofErr w:type="spellStart"/>
      <w:r w:rsidRPr="007974C6">
        <w:rPr>
          <w:lang w:val="en-US"/>
        </w:rPr>
        <w:t>elpts</w:t>
      </w:r>
      <w:proofErr w:type="spellEnd"/>
      <w:r w:rsidRPr="007974C6">
        <w:t>.</w:t>
      </w:r>
      <w:proofErr w:type="spellStart"/>
      <w:r w:rsidRPr="007974C6">
        <w:rPr>
          <w:lang w:val="en-US"/>
        </w:rPr>
        <w:t>ru</w:t>
      </w:r>
      <w:proofErr w:type="spellEnd"/>
      <w:r w:rsidRPr="007974C6">
        <w:t xml:space="preserve">, Петр Евсеев, тел: +7 903 130 0518. </w:t>
      </w:r>
    </w:p>
    <w:p w:rsidR="00801B7F" w:rsidRPr="00015862" w:rsidRDefault="00CB1C08" w:rsidP="00801B7F">
      <w:hyperlink r:id="rId8" w:history="1">
        <w:r w:rsidR="00801B7F" w:rsidRPr="007974C6">
          <w:rPr>
            <w:rStyle w:val="a7"/>
          </w:rPr>
          <w:t>https://elpts.ru/</w:t>
        </w:r>
      </w:hyperlink>
    </w:p>
    <w:p w:rsidR="00C205B1" w:rsidRPr="007974C6" w:rsidRDefault="00C205B1" w:rsidP="00C205B1">
      <w:pPr>
        <w:rPr>
          <w:rFonts w:ascii="exo2-regular" w:hAnsi="exo2-regular" w:cs="Arial"/>
        </w:rPr>
      </w:pPr>
    </w:p>
    <w:p w:rsidR="007265FB" w:rsidRDefault="007265FB">
      <w:pPr>
        <w:rPr>
          <w:rFonts w:ascii="exo2-regular" w:hAnsi="exo2-regular" w:cs="Arial"/>
        </w:rPr>
      </w:pPr>
    </w:p>
    <w:sectPr w:rsidR="0072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regular">
    <w:altName w:val="Times New Roman"/>
    <w:charset w:val="00"/>
    <w:family w:val="auto"/>
    <w:pitch w:val="default"/>
  </w:font>
  <w:font w:name="exo2-medi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797B"/>
    <w:multiLevelType w:val="hybridMultilevel"/>
    <w:tmpl w:val="89088A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D573DE"/>
    <w:multiLevelType w:val="hybridMultilevel"/>
    <w:tmpl w:val="B94E642E"/>
    <w:lvl w:ilvl="0" w:tplc="02BC5E18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52066D0"/>
    <w:multiLevelType w:val="hybridMultilevel"/>
    <w:tmpl w:val="30F0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-Passport (Minkin Il'ja)">
    <w15:presenceInfo w15:providerId="AD" w15:userId="S-1-5-21-1175075488-3584251430-840502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6B"/>
    <w:rsid w:val="00007B85"/>
    <w:rsid w:val="00024000"/>
    <w:rsid w:val="0002649E"/>
    <w:rsid w:val="0003799C"/>
    <w:rsid w:val="00041431"/>
    <w:rsid w:val="00044CE7"/>
    <w:rsid w:val="00045804"/>
    <w:rsid w:val="00057F6D"/>
    <w:rsid w:val="00073593"/>
    <w:rsid w:val="00077EEC"/>
    <w:rsid w:val="00086697"/>
    <w:rsid w:val="000927C7"/>
    <w:rsid w:val="000B578C"/>
    <w:rsid w:val="000B7385"/>
    <w:rsid w:val="000C590B"/>
    <w:rsid w:val="000D6F0D"/>
    <w:rsid w:val="000F79CA"/>
    <w:rsid w:val="001078EF"/>
    <w:rsid w:val="00110146"/>
    <w:rsid w:val="00112E28"/>
    <w:rsid w:val="00120230"/>
    <w:rsid w:val="00123948"/>
    <w:rsid w:val="00123CFE"/>
    <w:rsid w:val="001410BC"/>
    <w:rsid w:val="001616E7"/>
    <w:rsid w:val="00172D56"/>
    <w:rsid w:val="00181405"/>
    <w:rsid w:val="00186F01"/>
    <w:rsid w:val="001919C1"/>
    <w:rsid w:val="00192439"/>
    <w:rsid w:val="001A52BA"/>
    <w:rsid w:val="001A731F"/>
    <w:rsid w:val="001B524A"/>
    <w:rsid w:val="001B54AC"/>
    <w:rsid w:val="001B5573"/>
    <w:rsid w:val="001B685E"/>
    <w:rsid w:val="001C1902"/>
    <w:rsid w:val="001C600A"/>
    <w:rsid w:val="001D4D2C"/>
    <w:rsid w:val="001E1DBD"/>
    <w:rsid w:val="001E7A60"/>
    <w:rsid w:val="001F08A4"/>
    <w:rsid w:val="001F6BBC"/>
    <w:rsid w:val="002135A8"/>
    <w:rsid w:val="00217910"/>
    <w:rsid w:val="00217B5E"/>
    <w:rsid w:val="00222DB1"/>
    <w:rsid w:val="00226E15"/>
    <w:rsid w:val="00235E2E"/>
    <w:rsid w:val="00241FD4"/>
    <w:rsid w:val="00242361"/>
    <w:rsid w:val="00244B27"/>
    <w:rsid w:val="00254069"/>
    <w:rsid w:val="00255904"/>
    <w:rsid w:val="00256AC7"/>
    <w:rsid w:val="0026335A"/>
    <w:rsid w:val="00281556"/>
    <w:rsid w:val="0029173F"/>
    <w:rsid w:val="0029352B"/>
    <w:rsid w:val="002A17F1"/>
    <w:rsid w:val="002B0B0C"/>
    <w:rsid w:val="002B1E87"/>
    <w:rsid w:val="002B2259"/>
    <w:rsid w:val="002C2B47"/>
    <w:rsid w:val="002C67CB"/>
    <w:rsid w:val="002D12C7"/>
    <w:rsid w:val="002F536A"/>
    <w:rsid w:val="003001F5"/>
    <w:rsid w:val="00312939"/>
    <w:rsid w:val="00357C9C"/>
    <w:rsid w:val="00375AEA"/>
    <w:rsid w:val="00384471"/>
    <w:rsid w:val="00386B9E"/>
    <w:rsid w:val="003902A1"/>
    <w:rsid w:val="003957D0"/>
    <w:rsid w:val="00397DDA"/>
    <w:rsid w:val="003A0085"/>
    <w:rsid w:val="003A76C5"/>
    <w:rsid w:val="003B1065"/>
    <w:rsid w:val="003B1DF9"/>
    <w:rsid w:val="003B33E8"/>
    <w:rsid w:val="003C73CB"/>
    <w:rsid w:val="003C7CBE"/>
    <w:rsid w:val="003E0201"/>
    <w:rsid w:val="003F6D79"/>
    <w:rsid w:val="00402268"/>
    <w:rsid w:val="00412A7E"/>
    <w:rsid w:val="0041606B"/>
    <w:rsid w:val="00416398"/>
    <w:rsid w:val="0041747B"/>
    <w:rsid w:val="00425089"/>
    <w:rsid w:val="0043726A"/>
    <w:rsid w:val="00443C65"/>
    <w:rsid w:val="0045537F"/>
    <w:rsid w:val="004741CE"/>
    <w:rsid w:val="0048444C"/>
    <w:rsid w:val="00484BD4"/>
    <w:rsid w:val="004961CA"/>
    <w:rsid w:val="004A4AB6"/>
    <w:rsid w:val="004B6102"/>
    <w:rsid w:val="004C1474"/>
    <w:rsid w:val="004C1939"/>
    <w:rsid w:val="004C4B16"/>
    <w:rsid w:val="004F3989"/>
    <w:rsid w:val="00505A30"/>
    <w:rsid w:val="00506761"/>
    <w:rsid w:val="0051195A"/>
    <w:rsid w:val="005120EE"/>
    <w:rsid w:val="00516061"/>
    <w:rsid w:val="005266E2"/>
    <w:rsid w:val="00527D01"/>
    <w:rsid w:val="005513C5"/>
    <w:rsid w:val="00554CDA"/>
    <w:rsid w:val="00556B00"/>
    <w:rsid w:val="00557760"/>
    <w:rsid w:val="00563382"/>
    <w:rsid w:val="005644DA"/>
    <w:rsid w:val="00572D2D"/>
    <w:rsid w:val="0057537A"/>
    <w:rsid w:val="00587EE8"/>
    <w:rsid w:val="005A3DB1"/>
    <w:rsid w:val="005A52CF"/>
    <w:rsid w:val="005A7073"/>
    <w:rsid w:val="005A747B"/>
    <w:rsid w:val="005C209E"/>
    <w:rsid w:val="005C6064"/>
    <w:rsid w:val="005D1A8D"/>
    <w:rsid w:val="005D1BB7"/>
    <w:rsid w:val="005D7870"/>
    <w:rsid w:val="005F2E7E"/>
    <w:rsid w:val="005F5767"/>
    <w:rsid w:val="005F5B5A"/>
    <w:rsid w:val="005F5D8D"/>
    <w:rsid w:val="006038BF"/>
    <w:rsid w:val="00612C1E"/>
    <w:rsid w:val="006171D1"/>
    <w:rsid w:val="006208C9"/>
    <w:rsid w:val="00642206"/>
    <w:rsid w:val="00642598"/>
    <w:rsid w:val="0064779A"/>
    <w:rsid w:val="006508C8"/>
    <w:rsid w:val="00654EBB"/>
    <w:rsid w:val="006964A2"/>
    <w:rsid w:val="00697D2A"/>
    <w:rsid w:val="006A32DC"/>
    <w:rsid w:val="006A3A85"/>
    <w:rsid w:val="006A667A"/>
    <w:rsid w:val="006C4A7B"/>
    <w:rsid w:val="006E0263"/>
    <w:rsid w:val="006E1588"/>
    <w:rsid w:val="006E7B93"/>
    <w:rsid w:val="007032F9"/>
    <w:rsid w:val="00717F67"/>
    <w:rsid w:val="007265FB"/>
    <w:rsid w:val="00733B8D"/>
    <w:rsid w:val="00736541"/>
    <w:rsid w:val="00751861"/>
    <w:rsid w:val="00761A48"/>
    <w:rsid w:val="00762EFB"/>
    <w:rsid w:val="00784335"/>
    <w:rsid w:val="007852F9"/>
    <w:rsid w:val="0079024C"/>
    <w:rsid w:val="007929A6"/>
    <w:rsid w:val="00795FEB"/>
    <w:rsid w:val="007974C6"/>
    <w:rsid w:val="007B3767"/>
    <w:rsid w:val="007C7990"/>
    <w:rsid w:val="007D280A"/>
    <w:rsid w:val="007D61C5"/>
    <w:rsid w:val="007E0528"/>
    <w:rsid w:val="00801B7F"/>
    <w:rsid w:val="00804508"/>
    <w:rsid w:val="008300DC"/>
    <w:rsid w:val="00831E4A"/>
    <w:rsid w:val="00841149"/>
    <w:rsid w:val="00841C67"/>
    <w:rsid w:val="00846504"/>
    <w:rsid w:val="00854A39"/>
    <w:rsid w:val="0085555A"/>
    <w:rsid w:val="00857E7A"/>
    <w:rsid w:val="00876418"/>
    <w:rsid w:val="00884763"/>
    <w:rsid w:val="008C10C3"/>
    <w:rsid w:val="008D544A"/>
    <w:rsid w:val="008D6D4D"/>
    <w:rsid w:val="008E1A11"/>
    <w:rsid w:val="008E211D"/>
    <w:rsid w:val="008F42D9"/>
    <w:rsid w:val="009056E9"/>
    <w:rsid w:val="0090647A"/>
    <w:rsid w:val="00906754"/>
    <w:rsid w:val="009108E6"/>
    <w:rsid w:val="009200C0"/>
    <w:rsid w:val="00927A69"/>
    <w:rsid w:val="00932678"/>
    <w:rsid w:val="00940CFB"/>
    <w:rsid w:val="00943568"/>
    <w:rsid w:val="0094515E"/>
    <w:rsid w:val="0094669C"/>
    <w:rsid w:val="00961701"/>
    <w:rsid w:val="00966051"/>
    <w:rsid w:val="00967264"/>
    <w:rsid w:val="00974EB1"/>
    <w:rsid w:val="00992BE8"/>
    <w:rsid w:val="009B42EA"/>
    <w:rsid w:val="009B630F"/>
    <w:rsid w:val="009C48BF"/>
    <w:rsid w:val="009E25E4"/>
    <w:rsid w:val="009F15A9"/>
    <w:rsid w:val="009F5A22"/>
    <w:rsid w:val="009F5AE9"/>
    <w:rsid w:val="00A02D1E"/>
    <w:rsid w:val="00A10864"/>
    <w:rsid w:val="00A1321D"/>
    <w:rsid w:val="00A13C81"/>
    <w:rsid w:val="00A1700C"/>
    <w:rsid w:val="00A250CE"/>
    <w:rsid w:val="00A30428"/>
    <w:rsid w:val="00A35FF6"/>
    <w:rsid w:val="00A415B0"/>
    <w:rsid w:val="00A45CB0"/>
    <w:rsid w:val="00A4645C"/>
    <w:rsid w:val="00A561F0"/>
    <w:rsid w:val="00A62357"/>
    <w:rsid w:val="00A7606D"/>
    <w:rsid w:val="00A85A8E"/>
    <w:rsid w:val="00A91E03"/>
    <w:rsid w:val="00A921A8"/>
    <w:rsid w:val="00AB11E8"/>
    <w:rsid w:val="00AB7101"/>
    <w:rsid w:val="00AE10A0"/>
    <w:rsid w:val="00AE65D4"/>
    <w:rsid w:val="00B17C43"/>
    <w:rsid w:val="00B24CE6"/>
    <w:rsid w:val="00B41DB3"/>
    <w:rsid w:val="00B45A61"/>
    <w:rsid w:val="00B52DD7"/>
    <w:rsid w:val="00B53199"/>
    <w:rsid w:val="00B55385"/>
    <w:rsid w:val="00B57451"/>
    <w:rsid w:val="00B641F7"/>
    <w:rsid w:val="00B66481"/>
    <w:rsid w:val="00B76FF6"/>
    <w:rsid w:val="00B82F82"/>
    <w:rsid w:val="00B9275D"/>
    <w:rsid w:val="00B937A1"/>
    <w:rsid w:val="00B94AEE"/>
    <w:rsid w:val="00B95CE8"/>
    <w:rsid w:val="00B96298"/>
    <w:rsid w:val="00BA3D43"/>
    <w:rsid w:val="00BA6D6A"/>
    <w:rsid w:val="00BB0408"/>
    <w:rsid w:val="00BB148D"/>
    <w:rsid w:val="00BB2BE3"/>
    <w:rsid w:val="00BC0D4F"/>
    <w:rsid w:val="00BC22A8"/>
    <w:rsid w:val="00BC2C77"/>
    <w:rsid w:val="00BC39A1"/>
    <w:rsid w:val="00BD0ADF"/>
    <w:rsid w:val="00BD0EA8"/>
    <w:rsid w:val="00BD724E"/>
    <w:rsid w:val="00BE33F7"/>
    <w:rsid w:val="00C013BB"/>
    <w:rsid w:val="00C05198"/>
    <w:rsid w:val="00C05472"/>
    <w:rsid w:val="00C1044C"/>
    <w:rsid w:val="00C1118B"/>
    <w:rsid w:val="00C143CD"/>
    <w:rsid w:val="00C205B1"/>
    <w:rsid w:val="00C45F03"/>
    <w:rsid w:val="00C6604A"/>
    <w:rsid w:val="00C73BEE"/>
    <w:rsid w:val="00C75611"/>
    <w:rsid w:val="00C83FE4"/>
    <w:rsid w:val="00C86DE7"/>
    <w:rsid w:val="00C9063A"/>
    <w:rsid w:val="00C90C30"/>
    <w:rsid w:val="00CB1BBB"/>
    <w:rsid w:val="00CB1C08"/>
    <w:rsid w:val="00CC76F1"/>
    <w:rsid w:val="00CD45D4"/>
    <w:rsid w:val="00CD47E9"/>
    <w:rsid w:val="00CE623E"/>
    <w:rsid w:val="00CE644D"/>
    <w:rsid w:val="00CF7EDE"/>
    <w:rsid w:val="00D00650"/>
    <w:rsid w:val="00D01996"/>
    <w:rsid w:val="00D04EA0"/>
    <w:rsid w:val="00D0526F"/>
    <w:rsid w:val="00D1506F"/>
    <w:rsid w:val="00D15D06"/>
    <w:rsid w:val="00D2013A"/>
    <w:rsid w:val="00D244C2"/>
    <w:rsid w:val="00D33724"/>
    <w:rsid w:val="00D373D4"/>
    <w:rsid w:val="00D37F17"/>
    <w:rsid w:val="00D418A6"/>
    <w:rsid w:val="00D42B0A"/>
    <w:rsid w:val="00D46248"/>
    <w:rsid w:val="00D529F8"/>
    <w:rsid w:val="00D60C2E"/>
    <w:rsid w:val="00D64FF4"/>
    <w:rsid w:val="00D673E7"/>
    <w:rsid w:val="00D709AC"/>
    <w:rsid w:val="00D82FFF"/>
    <w:rsid w:val="00D86282"/>
    <w:rsid w:val="00D93974"/>
    <w:rsid w:val="00D95E18"/>
    <w:rsid w:val="00DA18EC"/>
    <w:rsid w:val="00DA40EF"/>
    <w:rsid w:val="00DA7093"/>
    <w:rsid w:val="00DB3DF8"/>
    <w:rsid w:val="00DB44D4"/>
    <w:rsid w:val="00DB482E"/>
    <w:rsid w:val="00DC28E7"/>
    <w:rsid w:val="00DD0A70"/>
    <w:rsid w:val="00DD30F8"/>
    <w:rsid w:val="00DE44E6"/>
    <w:rsid w:val="00DF728F"/>
    <w:rsid w:val="00E26FFB"/>
    <w:rsid w:val="00E27AF2"/>
    <w:rsid w:val="00E4346D"/>
    <w:rsid w:val="00E55C30"/>
    <w:rsid w:val="00E6684A"/>
    <w:rsid w:val="00E73A19"/>
    <w:rsid w:val="00E841C2"/>
    <w:rsid w:val="00E95599"/>
    <w:rsid w:val="00EA692C"/>
    <w:rsid w:val="00EB0A9D"/>
    <w:rsid w:val="00EB0F43"/>
    <w:rsid w:val="00EB6402"/>
    <w:rsid w:val="00EC57B3"/>
    <w:rsid w:val="00EE247A"/>
    <w:rsid w:val="00EE28DF"/>
    <w:rsid w:val="00EE58F2"/>
    <w:rsid w:val="00EF5A37"/>
    <w:rsid w:val="00F06695"/>
    <w:rsid w:val="00F06F44"/>
    <w:rsid w:val="00F112E9"/>
    <w:rsid w:val="00F1612A"/>
    <w:rsid w:val="00F53203"/>
    <w:rsid w:val="00F55D0A"/>
    <w:rsid w:val="00F8345F"/>
    <w:rsid w:val="00F936BC"/>
    <w:rsid w:val="00FB03DE"/>
    <w:rsid w:val="00FB3090"/>
    <w:rsid w:val="00FB6340"/>
    <w:rsid w:val="00FB71F3"/>
    <w:rsid w:val="00FC1ABF"/>
    <w:rsid w:val="00FC2F66"/>
    <w:rsid w:val="00FC458C"/>
    <w:rsid w:val="00FC605A"/>
    <w:rsid w:val="00FD041B"/>
    <w:rsid w:val="00FD0CF6"/>
    <w:rsid w:val="00FD6A47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4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2C77"/>
    <w:pPr>
      <w:spacing w:after="150"/>
    </w:pPr>
  </w:style>
  <w:style w:type="paragraph" w:styleId="a6">
    <w:name w:val="List Paragraph"/>
    <w:basedOn w:val="a"/>
    <w:uiPriority w:val="34"/>
    <w:qFormat/>
    <w:rsid w:val="00AE65D4"/>
    <w:pPr>
      <w:ind w:left="720"/>
      <w:contextualSpacing/>
    </w:pPr>
  </w:style>
  <w:style w:type="character" w:styleId="a7">
    <w:name w:val="Hyperlink"/>
    <w:basedOn w:val="a0"/>
    <w:rsid w:val="0078433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56B0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556B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556B00"/>
  </w:style>
  <w:style w:type="paragraph" w:styleId="ab">
    <w:name w:val="annotation subject"/>
    <w:basedOn w:val="a9"/>
    <w:next w:val="a9"/>
    <w:link w:val="ac"/>
    <w:semiHidden/>
    <w:unhideWhenUsed/>
    <w:rsid w:val="00556B0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556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4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2C77"/>
    <w:pPr>
      <w:spacing w:after="150"/>
    </w:pPr>
  </w:style>
  <w:style w:type="paragraph" w:styleId="a6">
    <w:name w:val="List Paragraph"/>
    <w:basedOn w:val="a"/>
    <w:uiPriority w:val="34"/>
    <w:qFormat/>
    <w:rsid w:val="00AE65D4"/>
    <w:pPr>
      <w:ind w:left="720"/>
      <w:contextualSpacing/>
    </w:pPr>
  </w:style>
  <w:style w:type="character" w:styleId="a7">
    <w:name w:val="Hyperlink"/>
    <w:basedOn w:val="a0"/>
    <w:rsid w:val="0078433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56B0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556B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556B00"/>
  </w:style>
  <w:style w:type="paragraph" w:styleId="ab">
    <w:name w:val="annotation subject"/>
    <w:basedOn w:val="a9"/>
    <w:next w:val="a9"/>
    <w:link w:val="ac"/>
    <w:semiHidden/>
    <w:unhideWhenUsed/>
    <w:rsid w:val="00556B0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55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0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7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3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03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4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t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FAB7-BDF2-40A9-99D8-F0A3CBA9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2018-05-30T15:01:00Z</cp:lastPrinted>
  <dcterms:created xsi:type="dcterms:W3CDTF">2018-05-29T08:52:00Z</dcterms:created>
  <dcterms:modified xsi:type="dcterms:W3CDTF">2018-05-30T15:07:00Z</dcterms:modified>
</cp:coreProperties>
</file>